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gif" ContentType="image/gif"/>
  <Default Extension="tiff" ContentType="image/tiff"/>
  <Default Extension="svg" ContentType="image/svg+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v="urn:schemas-microsoft-com:vml" xmlns:wx="http://schemas.microsoft.com/office/word/2003/auxHint" xmlns:wp="http://schemas.openxmlformats.org/drawingml/2006/wordprocessingDrawing" xmlns:a="http://schemas.openxmlformats.org/drawingml/2006/main" xmlns:pic="http://schemas.openxmlformats.org/drawingml/2006/picture" xmlns:w="http://schemas.openxmlformats.org/wordprocessingml/2006/main">
  <w:body>
    <w:p>
      <w:pPr>
        <w:pStyle w:val="Normal"/>
      </w:pPr>
    </w:p>
    <w:p>
      <w:pPr>
        <w:pStyle w:val="Normal"/>
        <w:jc w:val="left"/>
        <w:spacing w:line="240" w:lineRule="auto"/>
      </w:pPr>
      <w:r>
        <w:rPr>
          <w:lang w:val="de-DE"/>
          <w:rFonts w:ascii="Times New Roman" w:cs="Times New Roman" w:hAnsi="Times New Roman"/>
          <w:b/>
          <w:sz w:val="32"/>
        </w:rPr>
        <w:t xml:space="preserve">Andreas Zumach             19. Januar 2022</w:t>
      </w:r>
    </w:p>
    <w:p>
      <w:pPr>
        <w:pStyle w:val="Normal"/>
        <w:jc w:val="left"/>
        <w:spacing w:line="240" w:lineRule="auto"/>
      </w:pPr>
    </w:p>
    <w:p>
      <w:pPr>
        <w:pStyle w:val="Normal"/>
        <w:jc w:val="left"/>
        <w:spacing w:line="240" w:lineRule="auto"/>
      </w:pPr>
    </w:p>
    <w:p>
      <w:pPr>
        <w:pStyle w:val="Normal"/>
        <w:jc w:val="left"/>
        <w:spacing w:line="240" w:lineRule="auto"/>
      </w:pPr>
      <w:r>
        <w:rPr>
          <w:lang w:val="de-DE"/>
          <w:rFonts w:ascii="Times New Roman" w:cs="Times New Roman" w:hAnsi="Times New Roman"/>
          <w:b/>
          <w:sz w:val="32"/>
          <w:u w:val="single"/>
        </w:rPr>
        <w:t xml:space="preserve">NATO-Osterweiterung – wer wem wann was in den 1990er Jahren versprach, und warum diese Frage bis heute relevant ist</w:t>
      </w:r>
    </w:p>
    <w:p>
      <w:pPr>
        <w:pStyle w:val="Normal"/>
        <w:jc w:val="left"/>
        <w:spacing w:line="240" w:lineRule="auto"/>
      </w:pP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Am 6.Dezember 2021, demTag vor der Videokonferenz zwischen den Präsidenten Russlands und der USA, Wladimir Putin und Joe Biden ,hatte ich in einem Kommentar in der „tageszeitung“ (taz) unter der Überschrift „Beide Seiten müssen deeskalieren“  (siehe Anhang) geschrieben:</w:t>
      </w:r>
    </w:p>
    <w:p>
      <w:pPr>
        <w:pStyle w:val="Normal"/>
        <w:jc w:val="left"/>
        <w:spacing w:line="240" w:lineRule="auto"/>
      </w:pPr>
    </w:p>
    <w:p>
      <w:pPr>
        <w:pStyle w:val="Normal"/>
        <w:jc w:val="left"/>
        <w:spacing w:line="240" w:lineRule="auto"/>
      </w:pPr>
      <w:r>
        <w:rPr>
          <w:lang w:val="de-DE"/>
          <w:rFonts w:ascii="Times New Roman" w:cs="Times New Roman" w:hAnsi="Times New Roman"/>
          <w:i/>
          <w:sz w:val="28"/>
        </w:rPr>
        <w:t xml:space="preserve">„Entgegen dem im Westen weitverbreiten Narrativ begann die Verschlechterung der Beziehungen nicht erst mit Russlands völkerrechtswidrige Annnexion der Krim im März 2014 ,sondern bereits mit der NATO-Osterweiterung, die ab 1996 vollzogen wurde.Es wurde das Versprechen gebrochen, das US-Außenminister James Baker, Bundeskanzler Helmut Kohl und Außenminister Hans-Dietrich Genscher dem sowjetischen Präsidenten Michail Gorbatschow Anfang Februar 1990 nachweislich gegeben hatten. Die Osterweiterung war ein schwerer historischer Fehler der Nato.“</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Dieser Kommentar, insbesondere mein Satz über das nachweislich gegebene und gebrochene Versprechen, löste eine große Zahl von Kommentaren auf taz-online und anderswo aus, in denen das gegebene Versprechen  -sei es aus Unkenntnis der Fakten oder wider besseres Wissen - bestritten und abgetan wurde als  „Hirngespinst“  oder als „irgendein angebliches Geschwätz von Genscher“.</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In einer ausführlichen Mail reagierte ein von mir sehr geschätzter Journalistenkollege und ehemaliger Chefredakteur der taz. Nachfolgend meine ausführliche Antwort.</w:t>
      </w:r>
    </w:p>
    <w:p>
      <w:pPr>
        <w:pStyle w:val="Normal"/>
        <w:jc w:val="left"/>
        <w:spacing w:line="240" w:lineRule="auto"/>
      </w:pP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Lieber T.</w:t>
      </w:r>
    </w:p>
    <w:p>
      <w:pPr>
        <w:pStyle w:val="Normal"/>
        <w:jc w:val="left"/>
        <w:spacing w:line="240" w:lineRule="auto"/>
      </w:pP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Danke für Deine ausführliche Mail zu meinem Kommentar in der taz vom 6.12.2021. Zunächst Du Deinen Fragen und Zweifeln, ob und in welcher Form es das von mir als „nachweislich“ beschriebene Versprechen gegeben hat.</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Für mich gibt es überhaupt keinen Zweifel daran, daß - so wie ich es in meinem Kommentar   geschrieben habe –  US-Aussenminister James Baker, Bundeskanzler Helmut Kohl und  Aussenminister Hans -Dietrich Genscher bei ihren Moskauer Gesprächen mit Michail Gorbatschow und Eduard Schewardnadse  Anfang am 8./9. und 10.  Februar 1990  das Verprechen gegeben haben, die NATO nicht nach Osten zu erweitern. Entsprechend haben sich damals auch andere Regierungsmitglieder und Diplomaten der USA, der Bundesrepublik Deutschlands, Frankreichs und Großbritanniens sowie der damalige NATO-Generalsekretär Wörner geäußert -sowohl gegenüber der Regierung in Moskau wie gegenüber Regierungen ost/mitteleuropäischer Staaten wie Polen und der CSSR als auch öffentlich. Dafür gibt es zahlreiche Belege und Zeugen. Die wichtigsten:</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1) Von der Geheimhaltung freigegebene Dokumente des  National Security Archive der USA</w:t>
      </w:r>
    </w:p>
    <w:p>
      <w:pPr>
        <w:pStyle w:val="Normal"/>
        <w:jc w:val="left"/>
        <w:spacing w:line="240" w:lineRule="auto"/>
      </w:pPr>
      <w:r>
        <w:rPr>
          <w:lang w:val="de-DE"/>
          <w:rFonts w:ascii="Times New Roman" w:cs="Times New Roman" w:hAnsi="Times New Roman"/>
          <w:sz w:val="28"/>
        </w:rPr>
        <w:t xml:space="preserve">Beschrieben in einem Artikel unter der Überschrift</w:t>
      </w:r>
    </w:p>
    <w:p>
      <w:pPr>
        <w:pStyle w:val="Normal"/>
        <w:jc w:val="left"/>
        <w:spacing w:line="240" w:lineRule="auto"/>
      </w:pPr>
      <w:r>
        <w:rPr>
          <w:lang w:val="de-DE"/>
          <w:rFonts w:ascii="Times New Roman" w:cs="Times New Roman" w:hAnsi="Times New Roman"/>
          <w:sz w:val="28"/>
        </w:rPr>
        <w:t xml:space="preserve">„NATO-Expansion: Who promised what to Whom“</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Teil 1: „What Gorbatschow heard western leaders say“</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https://nsarchive.gwu.edu/briefing-book/russia-programs/2017-12-12/nato-expansion-what-gorbachev-heard-western-leaders-early</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Teil 2: „What Yeltsin heard“</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https://nsarchive.gwu.edu/briefing-book/russia-programs/2018-03-16/nato-expansion-what-yeltsin-heard</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Dieser 2. Teil behandelt die Zeit der Jelzin-Regierung ab 1991. Aus den Dokumenten wird deutlich, wie  Jelzin und seine Regierung von der damaligen US-Administrationen von George Bush und Biull Clinton imUnklaren gelassen oder gar vorsätzlich in die Irre geführt wurde über die  damaligen Absichten mit Blick auf eine Erweiterung der NATO.</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(im Anhang  der zusammenfassende Artikel zu diesen Dokumenten; Seite 1-26 „What Gorbatschow heard..“; Seite 27-50 „What Jelzin heard“) </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2) Von der Geheimhaltung freigegebene Dokumente des Auswärtigen Amtes in Bonn, zitiert in dem SPIEGEL-Artikel  „ Absurde Vorstellung“ vom 22.11.2009</w:t>
      </w:r>
    </w:p>
    <w:p>
      <w:pPr>
        <w:pStyle w:val="Normal"/>
        <w:jc w:val="left"/>
        <w:spacing w:line="240" w:lineRule="auto"/>
      </w:pPr>
      <w:r>
        <w:rPr>
          <w:lang w:val="de-DE"/>
          <w:rFonts w:ascii="Times New Roman" w:cs="Times New Roman" w:hAnsi="Times New Roman"/>
          <w:sz w:val="28"/>
        </w:rPr>
        <w:t xml:space="preserve">(im Anhang)</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3) Die Äußerungen Genschers in einem Vortrag  in der Akademie Tutzing vom 31.Januar 1990
„Was immer im Warschauer Pakt geschieht, eine Ausdehnung des Nato-Territoriums nach Osten, das heißt, näher an die Grenzen der Sowjetunion heran, wird es nicht geben. […] Der Westen muss auch der Einsicht Rechnung tragen, dass der Wandel in Osteuropa und der deutsche Vereinigungsprozess nicht und einer Beeinträchtigung der sowjetischen Sicherheitsinteressen führen dürfen.“</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Genschers Äußerung vor den Medien nach seinem Treffen mit US-Aussenminister James Baker am 2. Februar 1990 in Washington:</w:t>
      </w:r>
    </w:p>
    <w:p>
      <w:pPr>
        <w:pStyle w:val="Normal"/>
        <w:jc w:val="left"/>
        <w:spacing w:line="240" w:lineRule="auto"/>
      </w:pPr>
      <w:r>
        <w:rPr>
          <w:lang w:val="de-DE"/>
          <w:rFonts w:ascii="Times New Roman" w:cs="Times New Roman" w:hAnsi="Times New Roman"/>
          <w:sz w:val="28"/>
        </w:rPr>
        <w:t xml:space="preserve">„Wir waren uns einig, daß nicht die Absicht besteht, daß NATO-Verteidigungsgebiet auszudehnen nach Oste. Das gilt übrigens nicht nur in Bezug auf die DDR, die wir gar nicht einverleiben wollen, sondern das gilt ganz generell.“</w:t>
      </w:r>
    </w:p>
    <w:p>
      <w:pPr>
        <w:pStyle w:val="Normal"/>
        <w:jc w:val="left"/>
        <w:spacing w:line="240" w:lineRule="auto"/>
      </w:pPr>
      <w:r>
        <w:rPr>
          <w:lang w:val="de-DE"/>
          <w:rFonts w:ascii="Times New Roman" w:cs="Times New Roman" w:hAnsi="Times New Roman"/>
          <w:sz w:val="28"/>
        </w:rPr>
        <w:t xml:space="preserve">Dokumentiert u.a. im „Weltspiegel“ des ARD-Fernsehens</w:t>
      </w:r>
    </w:p>
    <w:p>
      <w:pPr>
        <w:pStyle w:val="Normal"/>
        <w:jc w:val="left"/>
        <w:spacing w:line="240" w:lineRule="auto"/>
      </w:pPr>
      <w:r>
        <w:rPr>
          <w:lang w:val="de-DE"/>
          <w:rFonts w:ascii="Times New Roman" w:cs="Times New Roman" w:hAnsi="Times New Roman"/>
          <w:sz w:val="28"/>
        </w:rPr>
        <w:t xml:space="preserve">(https://www.youtube.com/watch?v=o8rarwFKjw8&amp;t=158s)</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4) Die Erinnerungen  des ehemaligen US-Diplomaten William Burns sowie die Erkenntisse der US-Historikerin Mary Elise Sarotte. Beides zusammengefaßt in einer Bücherbesprechung von Klaus von Dohnanyi in der ZEIT vom  18. Juni 2019</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(im Anhang)</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Interview und Artikel mit/von Sarotte vom Oktober/November 2019</w:t>
      </w:r>
    </w:p>
    <w:p>
      <w:pPr>
        <w:pStyle w:val="Normal"/>
        <w:jc w:val="left"/>
        <w:spacing w:line="240" w:lineRule="auto"/>
      </w:pPr>
      <w:r>
        <w:rPr>
          <w:lang w:val="de-DE"/>
          <w:rFonts w:ascii="Times New Roman" w:cs="Times New Roman" w:hAnsi="Times New Roman"/>
          <w:sz w:val="28"/>
        </w:rPr>
        <w:t xml:space="preserve">(beide im Anhang)</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Du verweist darauf, daß Horst Teltschik, der als außenpolitischer Chefberater von Kohl bei dessen Gespräch mit Gorbatschow am 10. Februar 1990 anwesend war,  die damals gemachten Zusagen bestreitet. Warum sich Teltschik anders (und im Widerspruch zur Dokumentenlage) erinnert,weiß ich nicht. Ich kann nur spekulieren: Es gab damals die starke Konkurrenz über die federführende Zuständigkeit für die Außenpolitik zwischen  Genschers AA und dem Kanzleramt..Möglicherweise war T. auch nicht einverstanden mit den Zusagen, die Kohl, Genscher und Baker in Moskau gemacht hatten. Oder aber er wurde - ebenso wie Kohl damals von US-Präsident George Bush - unter Druck gesetzt, von den gemachten Zusagen abzurücken.</w:t>
      </w:r>
    </w:p>
    <w:p>
      <w:pPr>
        <w:pStyle w:val="Normal"/>
        <w:jc w:val="left"/>
        <w:spacing w:line="240" w:lineRule="auto"/>
      </w:pP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5) Die diversen schriftlichen und mündlichen Äußerungen von Jack Matlock, der im Februar 1990 als damaliger US-Botschafter in Moskau bei Bakers Gesprächen mit Gorbatschow und Schewardnadse dabei war.</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Aus den oben zitierten Dokumenten und Aussagen   geht auch hervor, daß/warum</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a)sich die im Februar 1990 gemachten Zusagen einer Nichterweiterung der NATO  keineswegs nur auf das Territorium der DDR bezogen, sondern darüber hinaus auch auf die anderen osteuropäischen Staaten</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b) Baker , Kohl und Genscher von ihren im Februar 1990 gemachten Zusagen später abgerückt sind </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c)Gorbatschow bei den zwischen Mitte März Mai 1990 bis 12. September 1990 geführten formalen 4+2 Verhandlungen über die Herbeiführung der deutschen Einheit nicht mehr auf den im Februar erhaltenen Zusagen bestand .</w:t>
      </w:r>
    </w:p>
    <w:p>
      <w:pPr>
        <w:pStyle w:val="Normal"/>
        <w:jc w:val="left"/>
        <w:spacing w:line="240" w:lineRule="auto"/>
      </w:pPr>
      <w:r>
        <w:rPr>
          <w:lang w:val="de-DE"/>
          <w:rFonts w:ascii="Times New Roman" w:cs="Times New Roman" w:hAnsi="Times New Roman"/>
          <w:sz w:val="28"/>
        </w:rPr>
        <w:t xml:space="preserve">Zudem bezog sich  seine spätere (2014), häufig zitierte Erklärung, es habe „kein Versprechen der NATO“ gegeben , ausrücklich auf diese  Phase der formalen Verhandlungen. Ein „Versprechen“ des gesamten NATO-Bündnisses hatte es tatsächlich nicht gegeben, allerdings politische Zusagen von Regierungsmitgliedern der vier gewichtigsten NATO-Mitgliedsstaaten</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Ich  käme auch ohne die unter 1-4 genannten Belege und Zeugen aus und bin seit 32 Jahren der Überzeugung, daß es die von mir beschriebenen Zusagen vom Februar 1990 gegeben hat. Denn</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1) Bin ich am 11. Februar 1990 alleine mit zwei weiteren Journalisten und Genscher unmittelbar nach seiner (und Kohls) Rückkehr aus Moskau in seinem Regierungsflugzeug von Köln/Bonn zur KSZE-Außenministerkonferenz „Open Skies“ nach Ottawa geflogen. Genscher hat uns während des Fluges im Detail und hochbeglückt über seine Gespräche in Moskau berichtet und dabei auch mehrfach ausdrücklich seine und Kohls Zusage betont, daß das das Terriotorium der DDR zwar als künftiger Teil des vereinten Deutschlands politisch zur NATO gehören solle, aber ohne Truppen und militärische Strukturen der Allianz, und daß die NATO nicht um neue Mitglieder aus Osteuropa erweitert werden solle. Baker habe für die USA dieselbe Zusagen gemacht. Ich habe das damals für so selbstverständlich und auch richtig gehalten, daß ich diese Zusagen in meinem taz-Artikel über dieses Gespräch mit Genscher gar nicht erwähnt habe.</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2) Hat mir auf der Pariser  KSZE-Gipfelkonferenz vom 19.-21. November 1990 Jiri Dienstbier,  der damalige Aussenminister der CSSR, ausführlich berichtet, daß die Regierung Kohl/Genscher der Regierung von Vaclav Havel von diesen Zusagen unterrichtet habe. Dienstbier (und nach seiner Darstellung  damals auch Havel,der später seine Haltung änderte)  setzte  alle Hoffnung  auf das von Gorbatschow vorgeschlagene „Gemeinsame Haus Europa“  im institutionellen Rahmen der KSZE, deren politische, finanzielle und logistische Stärkung in  Paris in den Reden ausnahmslos aller 35 Staats-und Regierungschefs (Kohl:"Die KSZE muß das Herzstück der europäischen Architektur werden“) sowie im Abschlußdokument („Charta für ein neues Europa“) gefordert und versprochen wurde."in einem solchen kollektiven Sicherheitssystem wären auch die ost-und mitteleuropäischen Staaten mit ihren historisch begründeten Bedrohungswahrnehmungen gegenüber dem großen Nachbarn gut aufgehoben“, meinte Dienstbier damals mir gegenüber.</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In der öffentlichen Debatte ist heute immer wieder zu hören (u.a. von Wolfgang Ischinger, scheidender Vorsitzender der Münchner Sicherheitskonferenz und von 1982-2008 in führenden Positionen im Auswärtigen Amt sowie als Botschafter in Washington und London tätig), die Sowjetunion/Russland habe der Aufnahme osteuropäischer Staaten  in den 1990er Jahren „ausdrücklich zugestimmt“ , bzw. diese Ausnahme  sei mit der Regierung in Moskau „vereinbart worden“. Diese Behauptungen verweisen dann auf </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-das 2+4-Abkommen über die Vereinigung Deutschlands vom 12. September 1990  </w:t>
      </w:r>
    </w:p>
    <w:p>
      <w:pPr>
        <w:pStyle w:val="Normal"/>
        <w:jc w:val="left"/>
        <w:spacing w:line="240" w:lineRule="auto"/>
      </w:pPr>
      <w:r>
        <w:rPr>
          <w:lang w:val="de-DE"/>
          <w:rFonts w:ascii="Times New Roman" w:cs="Times New Roman" w:hAnsi="Times New Roman"/>
          <w:sz w:val="28"/>
        </w:rPr>
        <w:t xml:space="preserve">         </w:t>
      </w:r>
    </w:p>
    <w:p>
      <w:pPr>
        <w:pStyle w:val="Normal"/>
        <w:jc w:val="left"/>
        <w:spacing w:line="240" w:lineRule="auto"/>
      </w:pPr>
      <w:r>
        <w:rPr>
          <w:lang w:val="de-DE"/>
          <w:rFonts w:ascii="Times New Roman" w:cs="Times New Roman" w:hAnsi="Times New Roman"/>
          <w:sz w:val="28"/>
        </w:rPr>
        <w:t xml:space="preserve">und/oder</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-die auf der  Pariser KSZE-Gipfelkonferenz vom 19.-21 November 1990 verabschiedete „Charta für ein neues Europa“  </w:t>
      </w:r>
    </w:p>
    <w:p>
      <w:pPr>
        <w:pStyle w:val="Normal"/>
        <w:jc w:val="left"/>
        <w:spacing w:line="240" w:lineRule="auto"/>
      </w:pPr>
      <w:r>
        <w:rPr>
          <w:lang w:val="de-DE"/>
          <w:rFonts w:ascii="Times New Roman" w:cs="Times New Roman" w:hAnsi="Times New Roman"/>
          <w:sz w:val="28"/>
        </w:rPr>
        <w:t xml:space="preserve">      </w:t>
      </w:r>
    </w:p>
    <w:p>
      <w:pPr>
        <w:pStyle w:val="Normal"/>
        <w:jc w:val="left"/>
        <w:spacing w:line="240" w:lineRule="auto"/>
      </w:pPr>
      <w:r>
        <w:rPr>
          <w:lang w:val="de-DE"/>
          <w:rFonts w:ascii="Times New Roman" w:cs="Times New Roman" w:hAnsi="Times New Roman"/>
          <w:sz w:val="28"/>
        </w:rPr>
        <w:t xml:space="preserve">und/oder</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-die NATO-Russland-Grundakte vom 27. Mai 1997</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Derlei Behauptungen sind zumindest unseriös. Denn tatsächlich findet sich in keinem dieser drei Abkommen eine „ausdrückliche Zustimmung“ Moskaus oder eine entsprechende „Vereinbarung“. Begriffe wie „NATO-Mitgliedschaft“ , „NATO-Erweiterung“ o.ä kommen in diesen Abkommen überhaupt nicht vor.</w:t>
      </w:r>
    </w:p>
    <w:p>
      <w:pPr>
        <w:pStyle w:val="Normal"/>
        <w:jc w:val="left"/>
        <w:spacing w:line="240" w:lineRule="auto"/>
      </w:pPr>
      <w:r>
        <w:rPr>
          <w:lang w:val="de-DE"/>
          <w:rFonts w:ascii="Times New Roman" w:cs="Times New Roman" w:hAnsi="Times New Roman"/>
          <w:sz w:val="28"/>
        </w:rPr>
        <w:t xml:space="preserve"> Es gibt lediglich Formulierungen in zwei der drei Abkommen,die allenfalls die Interpretation zulassen, Moskau habe das Recht des Beitritts von Staaten zur NATO anerkannt.</w:t>
      </w:r>
    </w:p>
    <w:p>
      <w:pPr>
        <w:pStyle w:val="Normal"/>
        <w:jc w:val="left"/>
        <w:spacing w:line="240" w:lineRule="auto"/>
      </w:pPr>
    </w:p>
    <w:p>
      <w:pPr>
        <w:pStyle w:val="Normal"/>
        <w:jc w:val="left"/>
        <w:spacing w:line="240" w:lineRule="auto"/>
      </w:pPr>
      <w:r>
        <w:rPr>
          <w:lang w:val="de-DE"/>
          <w:rFonts w:ascii="Times New Roman" w:cs="Times New Roman" w:hAnsi="Times New Roman"/>
          <w:sz w:val="28"/>
          <w:u w:val="single"/>
        </w:rPr>
        <w:t xml:space="preserve">In der Charta von Paris heißt es: </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„Nun, da die Teilung Europas zu Ende geht, </w:t>
      </w:r>
      <w:r>
        <w:rPr>
          <w:lang w:val="de-DE"/>
          <w:rFonts w:ascii="Times New Roman" w:cs="Times New Roman" w:hAnsi="Times New Roman"/>
          <w:i/>
          <w:sz w:val="28"/>
        </w:rPr>
        <w:t xml:space="preserve">werden wir unter uneingeschränkter</w:t>
      </w:r>
    </w:p>
    <w:p>
      <w:pPr>
        <w:pStyle w:val="Normal"/>
        <w:jc w:val="left"/>
        <w:spacing w:line="240" w:lineRule="auto"/>
      </w:pPr>
      <w:r>
        <w:rPr>
          <w:lang w:val="de-DE"/>
          <w:rFonts w:ascii="Times New Roman" w:cs="Times New Roman" w:hAnsi="Times New Roman"/>
          <w:i/>
          <w:sz w:val="28"/>
        </w:rPr>
        <w:t xml:space="preserve">gegenseitiger Achtung der Entscheidungsfreiheit eine neue Qualität in unseren</w:t>
      </w:r>
    </w:p>
    <w:p>
      <w:pPr>
        <w:pStyle w:val="Normal"/>
        <w:jc w:val="left"/>
        <w:spacing w:line="240" w:lineRule="auto"/>
      </w:pPr>
      <w:r>
        <w:rPr>
          <w:lang w:val="de-DE"/>
          <w:rFonts w:ascii="Times New Roman" w:cs="Times New Roman" w:hAnsi="Times New Roman"/>
          <w:i/>
          <w:sz w:val="28"/>
        </w:rPr>
        <w:t xml:space="preserve">Sicherheitsbeziehungen anstreben</w:t>
      </w:r>
      <w:r>
        <w:rPr>
          <w:lang w:val="de-DE"/>
          <w:rFonts w:ascii="Times New Roman" w:cs="Times New Roman" w:hAnsi="Times New Roman"/>
          <w:sz w:val="28"/>
        </w:rPr>
        <w:t xml:space="preserve">. Sicherheit ist unteilbar, und die Sicherheit jedes</w:t>
      </w:r>
    </w:p>
    <w:p>
      <w:pPr>
        <w:pStyle w:val="Normal"/>
        <w:jc w:val="left"/>
        <w:spacing w:line="240" w:lineRule="auto"/>
      </w:pPr>
      <w:r>
        <w:rPr>
          <w:lang w:val="de-DE"/>
          <w:rFonts w:ascii="Times New Roman" w:cs="Times New Roman" w:hAnsi="Times New Roman"/>
          <w:sz w:val="28"/>
        </w:rPr>
        <w:t xml:space="preserve">Teilnehmerstaates ist untrennbar mit der aller anderen verbunden....</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Die beispiellose Reduzierung der Streitkräfte durch den Vertrag über Konventionelle</w:t>
      </w:r>
    </w:p>
    <w:p>
      <w:pPr>
        <w:pStyle w:val="Normal"/>
        <w:jc w:val="left"/>
        <w:spacing w:line="240" w:lineRule="auto"/>
      </w:pPr>
      <w:r>
        <w:rPr>
          <w:lang w:val="de-DE"/>
          <w:rFonts w:ascii="Times New Roman" w:cs="Times New Roman" w:hAnsi="Times New Roman"/>
          <w:sz w:val="28"/>
        </w:rPr>
        <w:t xml:space="preserve">Streitkräfte in Europa wird - gemeinsam mit neuen Ansätzen für Sicherheit und Zusammenarbeit innerhalb des KSZE-Prozesses - unser Verständnis von Sicherheit in Europa verändern und unseren Beziehungen eine neue Dimension verleihen. </w:t>
      </w:r>
      <w:r>
        <w:rPr>
          <w:lang w:val="de-DE"/>
          <w:rFonts w:ascii="Times New Roman" w:cs="Times New Roman" w:hAnsi="Times New Roman"/>
          <w:i/>
          <w:sz w:val="28"/>
        </w:rPr>
        <w:t xml:space="preserve">In diesem Zusammenhang bekennen wir uns zum</w:t>
      </w:r>
    </w:p>
    <w:p>
      <w:pPr>
        <w:pStyle w:val="Normal"/>
        <w:jc w:val="left"/>
        <w:spacing w:line="240" w:lineRule="auto"/>
      </w:pPr>
      <w:r>
        <w:rPr>
          <w:lang w:val="de-DE"/>
          <w:rFonts w:ascii="Times New Roman" w:cs="Times New Roman" w:hAnsi="Times New Roman"/>
          <w:i/>
          <w:sz w:val="28"/>
        </w:rPr>
        <w:t xml:space="preserve">Recht der Staaten, ihre sicherheitspolitischen Dispositionen frei zu treffen“</w:t>
      </w:r>
    </w:p>
    <w:p>
      <w:pPr>
        <w:pStyle w:val="Normal"/>
        <w:jc w:val="left"/>
        <w:spacing w:line="240" w:lineRule="auto"/>
      </w:pPr>
    </w:p>
    <w:p>
      <w:pPr>
        <w:pStyle w:val="Normal"/>
        <w:jc w:val="left"/>
        <w:spacing w:line="240" w:lineRule="auto"/>
      </w:pPr>
      <w:r>
        <w:rPr>
          <w:lang w:val="de-DE"/>
          <w:rFonts w:ascii="Times New Roman" w:cs="Times New Roman" w:hAnsi="Times New Roman"/>
          <w:sz w:val="28"/>
          <w:u w:val="single"/>
        </w:rPr>
        <w:t xml:space="preserve">In der NATO-Russland-Grundakte heisst es</w:t>
      </w:r>
      <w:r>
        <w:rPr>
          <w:lang w:val="de-DE"/>
          <w:rFonts w:ascii="Times New Roman" w:cs="Times New Roman" w:hAnsi="Times New Roman"/>
          <w:i/>
          <w:sz w:val="28"/>
          <w:u w:val="single"/>
        </w:rPr>
        <w:t xml:space="preserve">:</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„Zur Verwirklichung der Ziele dieser Akte verpflichten sich die NATO und Russland gemeinsam dazu, ihre Beziehungen an folgenden Grundsätzen auszurichten: </w:t>
      </w:r>
    </w:p>
    <w:p>
      <w:pPr>
        <w:pStyle w:val="Normal"/>
        <w:jc w:val="left"/>
        <w:spacing w:line="240" w:lineRule="auto"/>
      </w:pPr>
      <w:r>
        <w:rPr>
          <w:lang w:val="de-DE"/>
          <w:rFonts w:ascii="Times New Roman" w:cs="Times New Roman" w:hAnsi="Times New Roman"/>
          <w:i/>
          <w:sz w:val="28"/>
        </w:rPr>
        <w:t xml:space="preserve">Achtung der Souveränität, Unabhängigkeit und territorialen Unversehrtheit aller Staaten sowie ihres naturgegebenen Rechtes, die Mittel zur Gewährleistung ihrer eigenen Sicherheit sowie der Unverletzlichkeit von Grenzen und des Selbstbestimmungsrechts der Völker, wie es in der Schlussakte von Helsinki und anderen OSZE-Dokumenten verankert ist, selbst zu wählen“</w:t>
      </w:r>
    </w:p>
    <w:p>
      <w:pPr>
        <w:pStyle w:val="Normal"/>
        <w:jc w:val="left"/>
        <w:spacing w:line="240" w:lineRule="auto"/>
      </w:pPr>
    </w:p>
    <w:p>
      <w:pPr>
        <w:pStyle w:val="Normal"/>
        <w:jc w:val="left"/>
        <w:spacing w:line="240" w:lineRule="auto"/>
      </w:pP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Im Weiteren füge ich meine Kommentare in den Text Deiner Mail in </w:t>
      </w:r>
      <w:r>
        <w:rPr>
          <w:lang w:val="de-DE"/>
          <w:rFonts w:ascii="Times New Roman" w:cs="Times New Roman" w:hAnsi="Times New Roman"/>
          <w:b/>
          <w:i/>
          <w:sz w:val="28"/>
        </w:rPr>
        <w:t xml:space="preserve">fetter Kursivschrift</w:t>
      </w:r>
      <w:r>
        <w:rPr>
          <w:lang w:val="de-DE"/>
          <w:rFonts w:ascii="Times New Roman" w:cs="Times New Roman" w:hAnsi="Times New Roman"/>
          <w:sz w:val="28"/>
        </w:rPr>
        <w:t xml:space="preserve"> ein:</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 Aber unabhängig davon, ob es ein Versprechen gegeben hat oder nicht ,und worauf sich dieses Versprechen bezog, stellt sich doch die Frage, welchen Wert ein nicht schriftlich in einem Vertrag kodifiziertes Versprechen überhaupt hat.Drei Männer geben einem vierten Mann mündlich ein Versprechen und danach ist das Hindernis überwunden, ist die Sache geritzt und Deutschland kann wiedervereinigt werden. </w:t>
      </w:r>
    </w:p>
    <w:p>
      <w:pPr>
        <w:pStyle w:val="Normal"/>
        <w:jc w:val="left"/>
        <w:spacing w:line="240" w:lineRule="auto"/>
      </w:pPr>
      <w:r>
        <w:rPr>
          <w:lang w:val="de-DE"/>
          <w:rFonts w:ascii="Times New Roman" w:cs="Times New Roman" w:hAnsi="Times New Roman"/>
          <w:b/>
          <w:i/>
          <w:sz w:val="28"/>
        </w:rPr>
        <w:t xml:space="preserve">Es war allerdings ein großer handwerklicher Fehler, daß sich Gorbatschow und Schewardnadse die im Februar 1990 gemachten Zusagen nicht schriftlich geben ließen. Ich kann mir das nur so erklären, daß insbsondere Gorbatschow in dieser historischen Stunde des Zusammenbruchs  der 45 Jahre alten Blockkonfrontation und der damit verbundenen Erleichterung so überzeugt war von seiner positiven Alternative „Gemeinsames Haus Europa“ im Rahmen der KSZE, daß er annahm,  die westlichen Akteure würden genauso denken/fühlen. Das kann man als naiv kritisieren. (Ich bekenne mich auch zu dieser Naivität. Bis zur Pariser KSZE-Konferenz im November 1990 hatte ich auch den Eindruck, daß die westlichen Regierungen tatsächlich zu dieser Option „Gemeinsames Haus Europa“ bereit waren). Und Gorbatschows Versäumnis, sich Zusagen schriftlich geben zu lassen ist überhaupt kein Argument dagegen, daß diese Option die bessere gewesen wäre - und nach wie vor ist. </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 Mit welcher Legitimation können denn die drei westlichen Männer für die Nato ein bindendes Versprechen abgeben? Pacta sunt servanda. </w:t>
      </w:r>
    </w:p>
    <w:p>
      <w:pPr>
        <w:pStyle w:val="Normal"/>
        <w:jc w:val="left"/>
        <w:spacing w:line="240" w:lineRule="auto"/>
      </w:pPr>
      <w:r>
        <w:rPr>
          <w:lang w:val="de-DE"/>
          <w:rFonts w:ascii="Times New Roman" w:cs="Times New Roman" w:hAnsi="Times New Roman"/>
          <w:b/>
          <w:i/>
          <w:sz w:val="28"/>
        </w:rPr>
        <w:t xml:space="preserve">Gewiss. Allerdings handelte  es sich bei Baker, Kohl und Genscher  ja nicht um irgendwen in der NATO, sondern um die Regierungmitglieder der NATO-Führungsmacht USA und des gewichtigen Mitgliedes BRD. Es gab damals von den anderen NATO-Mitgliedern keinerlei Widerspruch gegen die von Baker, Kohl und Genscher gemachten Zusagen.Niemand drängte auf eine Ausweitung der NATO gen Osten.Ich bin sicher, die USA und die BRD hätten,wenn sie gewollt hätten, einen offiziellen Konsensbeschluß der NATO zum Verzicht auf eine Ostausdehnung herbeiführen können. </w:t>
      </w:r>
    </w:p>
    <w:p>
      <w:pPr>
        <w:pStyle w:val="Normal"/>
        <w:jc w:val="left"/>
        <w:spacing w:line="240" w:lineRule="auto"/>
      </w:pPr>
      <w:r>
        <w:rPr>
          <w:lang w:val="de-DE"/>
          <w:rFonts w:ascii="Times New Roman" w:cs="Times New Roman" w:hAnsi="Times New Roman"/>
          <w:sz w:val="28"/>
        </w:rPr>
        <w:t xml:space="preserve">Aber weshalb sollten sich z.B. ein sozialdemokratischer Kanzler und eine grüne Außenminister an ein möglicherweise vor 31 Jahren gegebenen mündliches Versprechen eines christdemokratischen Kanzlers gebunden fühlen? Und ein französischer Präsident? Das gebe ich unabhängig davon, wie man den Konflikt mit Russland entschärfen kann, zu bedenken. </w:t>
      </w:r>
    </w:p>
    <w:p>
      <w:pPr>
        <w:pStyle w:val="Normal"/>
        <w:jc w:val="left"/>
        <w:spacing w:line="240" w:lineRule="auto"/>
      </w:pPr>
      <w:r>
        <w:rPr>
          <w:lang w:val="de-DE"/>
          <w:rFonts w:ascii="Times New Roman" w:cs="Times New Roman" w:hAnsi="Times New Roman"/>
          <w:b/>
          <w:i/>
          <w:sz w:val="28"/>
        </w:rPr>
        <w:t xml:space="preserve">Es geht nicht darum, ob sich jemand heute im formalen Sinn an eine vor 31 Jahren gegeben politische Zusage gebunden fühlt. Und welche Parteien damals in Bonn und heute in Berlin regieren, ist dabei irrelevant. Es geht darum, ob in Berlin, Washington,Paris,London und anderen Hauptstädten endlich die Einsicht wächst, daß die Verschlechterung der Beziehungen zu Russland eben nicht erst mit den Gewaltkonflikten in der Ukraine ab 2014  begann, sondern daß die ab der 2. Hälfte der 90er Jahre vollzogene Osterweiterung der NATO und dann auch noch die Absichtserklärung  des NATO-Gipfels 2008 zur Aufnahme der Ukraine und Georgiens eine wesentliche Vorgeschichte dieser Konflikte sind. Wer die fatale Dynamik der Konfrontationseskalation zwischen Moskau und dem Westen endlich beenden und umkehren will, muß diese Vorgeschichte mit berücksichtigen.</w:t>
      </w:r>
    </w:p>
    <w:p>
      <w:pPr>
        <w:pStyle w:val="Normal"/>
        <w:jc w:val="left"/>
        <w:spacing w:line="240" w:lineRule="auto"/>
      </w:pPr>
      <w:r>
        <w:rPr>
          <w:lang w:val="de-DE"/>
          <w:rFonts w:ascii="Times New Roman" w:cs="Times New Roman" w:hAnsi="Times New Roman"/>
          <w:b/>
          <w:i/>
          <w:sz w:val="28"/>
        </w:rPr>
        <w:t xml:space="preserve">&gt;</w:t>
      </w:r>
    </w:p>
    <w:p>
      <w:pPr>
        <w:pStyle w:val="Normal"/>
        <w:jc w:val="left"/>
        <w:spacing w:line="240" w:lineRule="auto"/>
      </w:pPr>
      <w:r>
        <w:rPr>
          <w:lang w:val="de-DE"/>
          <w:rFonts w:ascii="Times New Roman" w:cs="Times New Roman" w:hAnsi="Times New Roman"/>
          <w:sz w:val="28"/>
        </w:rPr>
        <w:t xml:space="preserve">&gt; Im übrigen glaube ich auch, dass man Russland in eine europäische Friedensordnung einbeziehen muss. Aber dabei ist doch auch zu bedenken, dass die Nato – anders als der Irak in Kuweit oder Russland in der Krim  (beides wäre ja völkerrechtlich eine Legitimation für eine internationale Intervention) -  nicht die Souveränität eines andern Staates verletzt  hat,sondern sie hat – gewiss aus machtpolitischen Gründen – Staaten in ihr Bündnis aufgenommen, die dies wollten. </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 </w:t>
      </w:r>
      <w:r>
        <w:rPr>
          <w:lang w:val="de-DE"/>
          <w:rFonts w:ascii="Times New Roman" w:cs="Times New Roman" w:hAnsi="Times New Roman"/>
          <w:b/>
          <w:i/>
          <w:sz w:val="28"/>
        </w:rPr>
        <w:t xml:space="preserve">Und dabei hat die  NATO (zumindest mit Blick auf ihren Gipfelbeschluß zur Ukraine im Jahr 2008) die „legitimen Sicherheitsinteressen“ Russland nicht berücksichtigt. Als Pazifist habe ich mit diesem ,im Kalten Krieg geprägten Begriff immer sehr schwer getan, weil mit der Berufung auf „legitime Sicherheitsinteressen“ immer auch die Rüstung, Stationierung oder gar der Einsatz von Waffen und Soldaten gemeint waren. Aber wenn eine Seite in einem Konflikt „legitime Sicherheitsinteressen“ für sich reklamiert, dann muß sie diese auch der anderen Seite zugestehen.Natürlich hatten die osteuropäischen Staaten das souveräne Recht, Mitglied der NATO zu werden.Bei der Bekräftigung dieses Rechts wird in der öffentlichen Diskussion aber fast immer unterschlagen, daß es nach 1989 zumindest kurzfristig eine  Alternative gab(KSZE, kollektives Sicherheitssystem mit Russland , siehe oben). Erst als in Warschau, Prag, Budapest und anderen osteuropäischen Hauptstädten klar wurde, daß die westlichen Regierungen diese Alternative nicht ernsthaft wollten, entstand der Sog zur NATO-Mitgliedschaft.</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 Mir kommen all diese Gedanken, weil ich auch gerade ein Essay von Charlotte Wiedemann (in der taz  vom 15.12.) gelesen habe, die ich sehr schätze. Sie schreibt vom „antirussischen Kurs der Nato“, präziser wäre es vermutlich, man würde von einem „Kurs der Nato gegenüber Russland“ reden.</w:t>
      </w:r>
    </w:p>
    <w:p>
      <w:pPr>
        <w:pStyle w:val="Normal"/>
        <w:jc w:val="left"/>
        <w:spacing w:line="240" w:lineRule="auto"/>
      </w:pPr>
    </w:p>
    <w:p>
      <w:pPr>
        <w:pStyle w:val="Normal"/>
        <w:jc w:val="left"/>
        <w:spacing w:line="240" w:lineRule="auto"/>
      </w:pPr>
      <w:r>
        <w:rPr>
          <w:lang w:val="de-DE"/>
          <w:rFonts w:ascii="Times New Roman" w:cs="Times New Roman" w:hAnsi="Times New Roman"/>
          <w:b/>
          <w:i/>
          <w:sz w:val="28"/>
        </w:rPr>
        <w:t xml:space="preserve"> Ich schätze Charlotte auch sehr. Vielleicht wäre „Kurs der NATO gegenüber Russland“ tatsächlich präziser. Aber wer weiß, vielleicht hat sie ganz bewußt „antirussischer Kurs der NATO" geschrieben (wir müßten sie einfach mal fragen). Ich könnte diese Formulierung auf jeden Fall nachvollziehen. </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Zurecht stellt sich doch die Frage, welchen Kurs man einschlagen soll gegenüber Putins Kurs, der darin besteht, die Ukraine – über die recht unverfrorene Annexion der Krim und die anhaltende Schürung eines Krieges im Donbass, der schon Tausende Tote gekostet hat – zu destabilisieren und die EU – im Verein rechter Populisten in Frankreich, Italien und Ungarn – zu spalten. Letzteres mag im übrigen durchaus verständlich und auch legitim sein, wenn man – wie Putin und anders als Jelzin und Gorbatschow – auf eine Blockkonfrontation alten Stils und nicht auf eine europäische Friedensordnung setzt. </w:t>
      </w:r>
    </w:p>
    <w:p>
      <w:pPr>
        <w:pStyle w:val="Normal"/>
        <w:jc w:val="left"/>
        <w:spacing w:line="240" w:lineRule="auto"/>
      </w:pPr>
    </w:p>
    <w:p>
      <w:pPr>
        <w:pStyle w:val="Normal"/>
        <w:jc w:val="left"/>
        <w:spacing w:line="240" w:lineRule="auto"/>
      </w:pPr>
      <w:r>
        <w:rPr>
          <w:lang w:val="de-DE"/>
          <w:rFonts w:ascii="Times New Roman" w:cs="Times New Roman" w:hAnsi="Times New Roman"/>
          <w:b/>
          <w:i/>
          <w:sz w:val="28"/>
        </w:rPr>
        <w:t xml:space="preserve">Die Krim-Annexion war nicht nur unverfroren, sondern völkerrechtswidrig. Gerade wer die Völkerrechtsverstöße westlicher Staaten in den letzten 30 Jahren  völlig zu Recht kritisiert, sollte mit Blick auf die Krim-Annexion keine anderen Maßstäbe anlegen (wie das in Teilen der Linken und der Friedensbewegung leider passiert). Und nichts, was ich zur erklärenden Vorgeschichte dieser Annexion seit der der NATO-Osterweiterung geschrieben habe, soll diese Annexion und auch das Schüren des Konflikts im Donbas in irgendeiner Weise rechtfertigen, verharmlosen oder relativieren.Der Versuch, die EU  zu spalten- und das im Verein nicht nur mit rechten Populisten sondern auch mit rechtsextremen bis neonazistischen Parteien und Organisationen wie z.B. der AFD mag aus einer Blocklogik altens Stils heraus zwar „verständlich" im anaylitischen Sinne sein „legitim“ sind sie nicht.</w:t>
      </w:r>
    </w:p>
    <w:p>
      <w:pPr>
        <w:pStyle w:val="Normal"/>
        <w:jc w:val="left"/>
        <w:spacing w:line="240" w:lineRule="auto"/>
      </w:pPr>
      <w:r>
        <w:rPr>
          <w:lang w:val="de-DE"/>
          <w:rFonts w:ascii="Times New Roman" w:cs="Times New Roman" w:hAnsi="Times New Roman"/>
          <w:b/>
          <w:i/>
          <w:sz w:val="28"/>
        </w:rPr>
        <w:t xml:space="preserve">Das Problem, das ich auch bei den 15 von mir moderierten Podiumsdiskussiosn mit BundestagskandidatInnen aller Parteien mit Ausnahem der AFD im Vorfeld der Septemberwahl als sehr bedrückend empfunden habe: die KandidatInnen von CDU/CSU, FDP, SPD und Grünen beließen es  alle ohne Ausnahmen bei scharfer, weitgehend berechtigter (in einigen Fällen überzogener) Kritik an Putins Außen- und Innenpolitik. Niemand hatte irgendeinen konstruktiven Vorschlag für Schritte, um aus dieser Konfrontationslogik und Eskalation herauszukommen. Auch die VertreterInnen der Linken nicht.</w:t>
      </w:r>
    </w:p>
    <w:p>
      <w:pPr>
        <w:pStyle w:val="Normal"/>
        <w:jc w:val="left"/>
        <w:spacing w:line="240" w:lineRule="auto"/>
      </w:pPr>
    </w:p>
    <w:p>
      <w:pPr>
        <w:pStyle w:val="Normal"/>
        <w:jc w:val="left"/>
        <w:spacing w:line="240" w:lineRule="auto"/>
      </w:pPr>
    </w:p>
    <w:p>
      <w:pPr>
        <w:pStyle w:val="Normal"/>
        <w:jc w:val="left"/>
        <w:spacing w:line="240" w:lineRule="auto"/>
      </w:pPr>
      <w:r>
        <w:rPr>
          <w:lang w:val="de-DE"/>
          <w:rFonts w:ascii="Times New Roman" w:cs="Times New Roman" w:hAnsi="Times New Roman"/>
          <w:sz w:val="28"/>
          <w:u w:val="single"/>
        </w:rPr>
        <w:t xml:space="preserve">Zu Deiner Frage, welchen Kurs man einschlagen soll gegenüber Putins Kurs:</w:t>
      </w: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Dazu siehe bitte meinen im Anhang beigefügten ,für die Woz vom 20. Januar 2022 verfaßten Artikel  „Russland, die Ukraine und der Westen – Wege aus der Eskalation kurzfristig und auf längere Sicht“</w:t>
      </w:r>
    </w:p>
    <w:p>
      <w:pPr>
        <w:pStyle w:val="Normal"/>
        <w:jc w:val="left"/>
        <w:spacing w:line="240" w:lineRule="auto"/>
      </w:pP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Herzliche Grüße</w:t>
      </w:r>
    </w:p>
    <w:p>
      <w:pPr>
        <w:pStyle w:val="Normal"/>
        <w:jc w:val="left"/>
        <w:spacing w:line="240" w:lineRule="auto"/>
      </w:pPr>
      <w:r>
        <w:rPr>
          <w:lang w:val="de-DE"/>
          <w:rFonts w:ascii="Times New Roman" w:cs="Times New Roman" w:hAnsi="Times New Roman"/>
          <w:sz w:val="28"/>
        </w:rPr>
        <w:t xml:space="preserve">Andreas Z.</w:t>
      </w:r>
    </w:p>
    <w:p>
      <w:pPr>
        <w:pStyle w:val="Normal"/>
        <w:jc w:val="left"/>
        <w:spacing w:line="240" w:lineRule="auto"/>
      </w:pPr>
    </w:p>
    <w:p>
      <w:pPr>
        <w:pStyle w:val="Normal"/>
        <w:jc w:val="left"/>
        <w:spacing w:line="240" w:lineRule="auto"/>
      </w:pPr>
    </w:p>
    <w:p>
      <w:pPr>
        <w:pStyle w:val="Normal"/>
        <w:jc w:val="left"/>
        <w:spacing w:line="240" w:lineRule="auto"/>
      </w:pPr>
      <w:r>
        <w:rPr>
          <w:lang w:val="de-DE"/>
          <w:rFonts w:ascii="Times New Roman" w:cs="Times New Roman" w:hAnsi="Times New Roman"/>
          <w:sz w:val="28"/>
        </w:rPr>
        <w:t xml:space="preserve">  </w:t>
      </w:r>
    </w:p>
    <w:p>
      <w:pPr>
        <w:pStyle w:val="Normal"/>
        <w:jc w:val="left"/>
        <w:spacing w:line="240" w:lineRule="auto"/>
      </w:pPr>
    </w:p>
    <w:p>
      <w:pPr>
        <w:pStyle w:val="Normal"/>
        <w:jc w:val="left"/>
        <w:spacing w:line="240" w:lineRule="auto"/>
      </w:pPr>
    </w:p>
    <w:p>
      <w:pPr>
        <w:pStyle w:val="Normal"/>
        <w:jc w:val="left"/>
        <w:spacing w:line="240" w:lineRule="auto"/>
      </w:pPr>
    </w:p>
    <w:sectPr>
      <w:pgSz w:w="11906" w:h="16838" w:orient="portrait"/>
      <w:pgMar w:top="1440" w:left="1440" w:right="1440" w:bottom="1440"/>
    </w:sectPr>
  </w:body>
</w:document>
</file>

<file path=word/endnotes.xml><?xml version="1.0" encoding="utf-8"?>
<w:endnotes xmlns:w="http://schemas.openxmlformats.org/wordprocessingml/2006/main"/>
</file>

<file path=word/footnotes.xml><?xml version="1.0" encoding="utf-8"?>
<w:footnotes xmlns:w="http://schemas.openxmlformats.org/wordprocessingml/2006/main"/>
</file>

<file path=word/numbering.xml><?xml version="1.0" encoding="utf-8"?>
<w:numbering xmlns:w="http://schemas.openxmlformats.org/wordprocessingml/2006/main"/>
</file>

<file path=word/settings.xml><?xml version="1.0" encoding="utf-8"?>
<w:settings xmlns:r="http://schemas.openxmlformats.org/officeDocument/2006/relationships" xmlns:w="http://schemas.openxmlformats.org/wordprocessingml/2006/main"/>
</file>

<file path=word/styles.xml><?xml version="1.0" encoding="utf-8"?>
<w:styles xmlns:r="http://schemas.openxmlformats.org/officeDocument/2006/relationships" xmlns:w="http://schemas.openxmlformats.org/wordprocessingml/2006/main">
  <w:style w:styleId="?berschrift">
    <w:name w:val="?berschrift"/>
    <w:basedOn w:val="Normal"/>
    <w:next w:val="Textk\u246 ?rper"/>
    <w:pPr>
      <w:spacing w:after="119"/>
      <w:spacing w:before="240"/>
    </w:pPr>
    <w:rPr>
      <w:sz w:val="28"/>
      <w:rFonts w:ascii="Times New Roman" w:cs="Times New Roman" w:hAnsi="Times New Roman"/>
    </w:rPr>
  </w:style>
  <w:style w:styleId="Arrowhead List">
    <w:name w:val="Arrowhead List"/>
    <w:pPr>
      <w:ind w:hanging="432"/>
      <w:ind w:left="720"/>
    </w:pPr>
    <w:rPr/>
  </w:style>
  <w:style w:styleId="Beschriftung">
    <w:name w:val="Beschriftung"/>
    <w:basedOn w:val="Normal"/>
    <w:pPr>
      <w:spacing w:after="119"/>
      <w:spacing w:before="119"/>
    </w:pPr>
    <w:rPr>
      <w:i/>
      <w:sz w:val="24"/>
      <w:rFonts w:ascii="Times New Roman" w:cs="Times New Roman" w:hAnsi="Times New Roman"/>
    </w:rPr>
  </w:style>
  <w:style w:styleId="Block Text">
    <w:name w:val="Block Text"/>
    <w:basedOn w:val="Normal"/>
    <w:pPr>
      <w:ind w:left="1440"/>
      <w:ind w:right="1440"/>
      <w:spacing w:after="120"/>
    </w:pPr>
    <w:rPr/>
  </w:style>
  <w:style w:styleId="Box List">
    <w:name w:val="Box List"/>
    <w:pPr>
      <w:ind w:hanging="432"/>
      <w:ind w:left="720"/>
    </w:pPr>
    <w:rPr/>
  </w:style>
  <w:style w:styleId="Bullet List">
    <w:name w:val="Bullet List"/>
    <w:pPr>
      <w:ind w:hanging="432"/>
      <w:ind w:left="720"/>
    </w:pPr>
    <w:rPr/>
  </w:style>
  <w:style w:styleId="Chapter Heading">
    <w:name w:val="Chapter Heading"/>
    <w:basedOn w:val="Numbered Heading 1"/>
    <w:next w:val="Normal"/>
    <w:pPr/>
    <w:rPr/>
  </w:style>
  <w:style w:styleId="Contents 1">
    <w:name w:val="Contents 1"/>
    <w:basedOn w:val="Normal"/>
    <w:next w:val="Normal"/>
    <w:pPr>
      <w:ind w:hanging="432"/>
      <w:ind w:left="720"/>
    </w:pPr>
    <w:rPr/>
  </w:style>
  <w:style w:styleId="Contents 2">
    <w:name w:val="Contents 2"/>
    <w:basedOn w:val="Normal"/>
    <w:next w:val="Normal"/>
    <w:pPr>
      <w:ind w:hanging="432"/>
      <w:ind w:left="1440"/>
    </w:pPr>
    <w:rPr/>
  </w:style>
  <w:style w:styleId="Contents 3">
    <w:name w:val="Contents 3"/>
    <w:basedOn w:val="Normal"/>
    <w:next w:val="Normal"/>
    <w:pPr>
      <w:ind w:hanging="432"/>
      <w:ind w:left="2160"/>
    </w:pPr>
    <w:rPr/>
  </w:style>
  <w:style w:styleId="Contents 4">
    <w:name w:val="Contents 4"/>
    <w:basedOn w:val="Normal"/>
    <w:next w:val="Normal"/>
    <w:pPr>
      <w:ind w:hanging="432"/>
      <w:ind w:left="2880"/>
    </w:pPr>
    <w:rPr/>
  </w:style>
  <w:style w:styleId="Contents Header">
    <w:name w:val="Contents Header"/>
    <w:basedOn w:val="Normal"/>
    <w:next w:val="Normal"/>
    <w:pPr>
      <w:jc w:val="center"/>
      <w:spacing w:after="120"/>
      <w:spacing w:before="240"/>
    </w:pPr>
    <w:rPr>
      <w:b/>
      <w:sz w:val="32"/>
      <w:rFonts w:ascii="Arial" w:cs="Arial" w:hAnsi="Arial"/>
    </w:rPr>
  </w:style>
  <w:style w:styleId="Dashed List">
    <w:name w:val="Dashed List"/>
    <w:pPr>
      <w:ind w:hanging="432"/>
      <w:ind w:left="720"/>
    </w:pPr>
    <w:rPr/>
  </w:style>
  <w:style w:styleId="Diamond List">
    <w:name w:val="Diamond List"/>
    <w:pPr>
      <w:ind w:hanging="432"/>
      <w:ind w:left="720"/>
    </w:pPr>
    <w:rPr/>
  </w:style>
  <w:style w:styleId="Endnote">
    <w:name w:val="Endnote"/>
    <w:basedOn w:val="Normal"/>
    <w:pPr>
      <w:ind w:hanging="288"/>
      <w:ind w:left="288"/>
    </w:pPr>
    <w:rPr/>
  </w:style>
  <w:style w:styleId="Endnote Reference">
    <w:name w:val="Endnote Reference"/>
    <w:pPr/>
    <w:rPr>
      <w:sz w:val="20"/>
      <w:vertAlign w:val="superscript"/>
    </w:rPr>
  </w:style>
  <w:style w:styleId="Endnote Text">
    <w:name w:val="Endnote Text"/>
    <w:basedOn w:val="Normal"/>
    <w:pPr/>
    <w:rPr/>
  </w:style>
  <w:style w:styleId="Footnote">
    <w:name w:val="Footnote"/>
    <w:basedOn w:val="Normal"/>
    <w:pPr>
      <w:ind w:hanging="288"/>
      <w:ind w:left="288"/>
    </w:pPr>
    <w:rPr>
      <w:sz w:val="20"/>
    </w:rPr>
  </w:style>
  <w:style w:styleId="Footnote Reference">
    <w:name w:val="Footnote Reference"/>
    <w:pPr/>
    <w:rPr>
      <w:sz w:val="20"/>
      <w:vertAlign w:val="superscript"/>
    </w:rPr>
  </w:style>
  <w:style w:styleId="Footnote Text">
    <w:name w:val="Footnote Text"/>
    <w:basedOn w:val="Normal"/>
    <w:pPr/>
    <w:rPr>
      <w:sz w:val="20"/>
    </w:rPr>
  </w:style>
  <w:style w:styleId="Hand List">
    <w:name w:val="Hand List"/>
    <w:pPr>
      <w:ind w:hanging="432"/>
      <w:ind w:left="720"/>
    </w:pPr>
    <w:rPr/>
  </w:style>
  <w:style w:styleId="Heading 1">
    <w:name w:val="Heading 1"/>
    <w:basedOn w:val="Normal"/>
    <w:next w:val="Normal"/>
    <w:pPr>
      <w:spacing w:after="60"/>
      <w:spacing w:before="440"/>
    </w:pPr>
    <w:rPr>
      <w:b/>
      <w:sz w:val="34"/>
      <w:rFonts w:ascii="Arial" w:cs="Arial" w:hAnsi="Arial"/>
    </w:rPr>
  </w:style>
  <w:style w:styleId="Heading 2">
    <w:name w:val="Heading 2"/>
    <w:basedOn w:val="Normal"/>
    <w:next w:val="Normal"/>
    <w:pPr>
      <w:spacing w:after="60"/>
      <w:spacing w:before="440"/>
    </w:pPr>
    <w:rPr>
      <w:b/>
      <w:sz w:val="28"/>
      <w:rFonts w:ascii="Arial" w:cs="Arial" w:hAnsi="Arial"/>
    </w:rPr>
  </w:style>
  <w:style w:styleId="Heading 3">
    <w:name w:val="Heading 3"/>
    <w:basedOn w:val="Normal"/>
    <w:next w:val="Normal"/>
    <w:pPr>
      <w:spacing w:after="60"/>
      <w:spacing w:before="440"/>
    </w:pPr>
    <w:rPr>
      <w:b/>
      <w:sz w:val="24"/>
      <w:rFonts w:ascii="Arial" w:cs="Arial" w:hAnsi="Arial"/>
    </w:rPr>
  </w:style>
  <w:style w:styleId="Heading 4">
    <w:name w:val="Heading 4"/>
    <w:basedOn w:val="Normal"/>
    <w:next w:val="Normal"/>
    <w:pPr>
      <w:spacing w:after="60"/>
      <w:spacing w:before="440"/>
    </w:pPr>
    <w:rPr>
      <w:b/>
      <w:sz w:val="24"/>
      <w:rFonts w:ascii="Arial" w:cs="Arial" w:hAnsi="Arial"/>
    </w:rPr>
  </w:style>
  <w:style w:styleId="Heart List">
    <w:name w:val="Heart List"/>
    <w:pPr>
      <w:ind w:hanging="432"/>
      <w:ind w:left="720"/>
    </w:pPr>
    <w:rPr/>
  </w:style>
  <w:style w:styleId="Implies List">
    <w:name w:val="Implies List"/>
    <w:pPr>
      <w:ind w:hanging="432"/>
      <w:ind w:left="720"/>
    </w:pPr>
    <w:rPr/>
  </w:style>
  <w:style w:styleId="Liste">
    <w:name w:val="Liste"/>
    <w:basedOn w:val="Textk\u246 ?rper"/>
    <w:pPr>
      <w:spacing w:after="119"/>
    </w:pPr>
    <w:rPr>
      <w:sz w:val="20"/>
      <w:rFonts w:ascii="Times New Roman" w:cs="Times New Roman" w:hAnsi="Times New Roman"/>
    </w:rPr>
  </w:style>
  <w:style w:styleId="Lower Case List">
    <w:name w:val="Lower Case List"/>
    <w:basedOn w:val="Numbered List"/>
    <w:pPr>
      <w:ind w:hanging="432"/>
      <w:ind w:left="720"/>
    </w:pPr>
    <w:rPr/>
  </w:style>
  <w:style w:styleId="Lower Roman List">
    <w:name w:val="Lower Roman List"/>
    <w:basedOn w:val="Normal"/>
    <w:pPr>
      <w:ind w:hanging="432"/>
      <w:ind w:left="720"/>
    </w:pPr>
    <w:rPr/>
  </w:style>
  <w:style w:styleId="Normal">
    <w:name w:val="Normal"/>
    <w:pPr>
      <w:widowControl w:val="on"/>
      <w:jc w:val="left"/>
      <w:spacing w:line="240" w:lineRule="auto"/>
    </w:pPr>
    <w:rPr>
      <w:sz w:val="24"/>
      <w:rFonts w:ascii="Times New Roman" w:cs="Times New Roman" w:hAnsi="Times New Roman"/>
      <w:color w:val="000000"/>
      <w:shd w:fill="ffffff"/>
    </w:rPr>
  </w:style>
  <w:style w:styleId="Numbered Heading 1">
    <w:name w:val="Numbered Heading 1"/>
    <w:basedOn w:val="Heading 1"/>
    <w:next w:val="Normal"/>
    <w:pPr/>
    <w:rPr/>
  </w:style>
  <w:style w:styleId="Numbered Heading 2">
    <w:name w:val="Numbered Heading 2"/>
    <w:basedOn w:val="Heading 2"/>
    <w:next w:val="Normal"/>
    <w:pPr/>
    <w:rPr/>
  </w:style>
  <w:style w:styleId="Numbered Heading 3">
    <w:name w:val="Numbered Heading 3"/>
    <w:basedOn w:val="Heading 3"/>
    <w:next w:val="Normal"/>
    <w:pPr/>
    <w:rPr/>
  </w:style>
  <w:style w:styleId="Numbered List">
    <w:name w:val="Numbered List"/>
    <w:pPr>
      <w:ind w:hanging="432"/>
      <w:ind w:left="720"/>
    </w:pPr>
    <w:rPr/>
  </w:style>
  <w:style w:styleId="Plain Text">
    <w:name w:val="Plain Text"/>
    <w:basedOn w:val="Normal"/>
    <w:pPr/>
    <w:rPr>
      <w:rFonts w:ascii="Courier New" w:cs="Courier New" w:hAnsi="Courier New"/>
    </w:rPr>
  </w:style>
  <w:style w:styleId="Section Heading">
    <w:name w:val="Section Heading"/>
    <w:basedOn w:val="Numbered Heading 1"/>
    <w:next w:val="Normal"/>
    <w:pPr/>
    <w:rPr/>
  </w:style>
  <w:style w:styleId="Square List">
    <w:name w:val="Square List"/>
    <w:pPr>
      <w:ind w:hanging="432"/>
      <w:ind w:left="720"/>
    </w:pPr>
    <w:rPr/>
  </w:style>
  <w:style w:styleId="Star List">
    <w:name w:val="Star List"/>
    <w:pPr>
      <w:ind w:hanging="432"/>
      <w:ind w:left="720"/>
    </w:pPr>
    <w:rPr/>
  </w:style>
  <w:style w:styleId="Textk\u246 ?rper">
    <w:name w:val="Textk\u246 ?rper"/>
    <w:basedOn w:val="Normal"/>
    <w:pPr>
      <w:spacing w:after="119"/>
    </w:pPr>
    <w:rPr>
      <w:sz w:val="20"/>
      <w:rFonts w:ascii="Times New Roman" w:cs="Times New Roman" w:hAnsi="Times New Roman"/>
    </w:rPr>
  </w:style>
  <w:style w:styleId="Tick List">
    <w:name w:val="Tick List"/>
    <w:pPr>
      <w:ind w:hanging="432"/>
      <w:ind w:left="720"/>
    </w:pPr>
    <w:rPr/>
  </w:style>
  <w:style w:styleId="Triangle List">
    <w:name w:val="Triangle List"/>
    <w:pPr>
      <w:ind w:hanging="432"/>
      <w:ind w:left="720"/>
    </w:pPr>
    <w:rPr/>
  </w:style>
  <w:style w:styleId="Upper Case List">
    <w:name w:val="Upper Case List"/>
    <w:basedOn w:val="Numbered List"/>
    <w:pPr>
      <w:ind w:hanging="432"/>
      <w:ind w:left="720"/>
    </w:pPr>
    <w:rPr/>
  </w:style>
  <w:style w:styleId="Upper Roman List">
    <w:name w:val="Upper Roman List"/>
    <w:basedOn w:val="Numbered List"/>
    <w:pPr>
      <w:ind w:hanging="432"/>
      <w:ind w:left="720"/>
    </w:pPr>
    <w:rPr/>
  </w:style>
  <w:style w:styleId="Verzeichnis">
    <w:name w:val="Verzeichnis"/>
    <w:basedOn w:val="Normal"/>
    <w:pPr/>
    <w:rPr>
      <w:sz w:val="20"/>
      <w:rFonts w:ascii="Times New Roman" w:cs="Times New Roman" w:hAnsi="Times New Roman"/>
    </w:rPr>
  </w:style>
  <w:style w:styleId="WW-Endnote">
    <w:name w:val="WW-Endnote"/>
    <w:basedOn w:val="Normal"/>
    <w:next w:val="Normal"/>
    <w:pPr>
      <w:ind w:hanging="288"/>
      <w:ind w:left="288"/>
    </w:pPr>
    <w:rPr>
      <w:sz w:val="20"/>
      <w:rFonts w:ascii="Times New Roman" w:cs="Times New Roman" w:hAnsi="Times New Roman"/>
    </w:rPr>
  </w:style>
  <w:docDefaults>
    <w:pPrDefault>
      <w:pPr>
        <w:pStyle w:val="Normal"/>
      </w:pPr>
    </w:pPrDefault>
    <w:rPrDefault>
      <w:rPr>
        <w:rStyle w:val="Normal"/>
      </w:rPr>
    </w:rPrDefault>
  </w:docDefaults>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endnotes" Target="endnotes.xml"/></Relationships>
</file>